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FB045E" w:rsidRPr="00FB045E">
        <w:rPr>
          <w:rStyle w:val="Teksttreci2"/>
          <w:rFonts w:cstheme="minorHAnsi"/>
          <w:color w:val="000000"/>
          <w:sz w:val="22"/>
          <w:szCs w:val="22"/>
        </w:rPr>
        <w:t>Nowa emerytura nauczycielska – warunki niezbędne do przyznania prawa do świadczenia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FB045E" w:rsidRPr="00FB045E">
        <w:rPr>
          <w:rStyle w:val="Teksttreci2"/>
          <w:rFonts w:cstheme="minorHAnsi"/>
          <w:color w:val="000000"/>
          <w:sz w:val="22"/>
          <w:szCs w:val="22"/>
        </w:rPr>
        <w:t>Nowa emerytura nauczycielska – warunki niezbędne do przyznania prawa do świadczenia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F492-8626-4C96-A98F-A2E2EBBF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2024-07-02T09:01:00Z</dcterms:created>
  <dcterms:modified xsi:type="dcterms:W3CDTF">2024-07-02T09:01:00Z</dcterms:modified>
</cp:coreProperties>
</file>