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C235CD" w:rsidRPr="00C235CD">
        <w:rPr>
          <w:b/>
          <w:bCs/>
          <w:sz w:val="16"/>
          <w:szCs w:val="16"/>
        </w:rPr>
        <w:t>Zawiadomienie o wypadku - działalno</w:t>
      </w:r>
      <w:r w:rsidR="00584C2B">
        <w:rPr>
          <w:b/>
          <w:bCs/>
          <w:sz w:val="16"/>
          <w:szCs w:val="16"/>
        </w:rPr>
        <w:t>ść gospodarcza (dokumentowanie)</w:t>
      </w:r>
      <w:r w:rsidR="00FF45EC">
        <w:rPr>
          <w:b/>
          <w:bCs/>
          <w:iCs/>
          <w:sz w:val="16"/>
          <w:szCs w:val="16"/>
        </w:rPr>
        <w:t>”</w:t>
      </w:r>
      <w:r w:rsidR="00584C2B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C235CD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C235CD" w:rsidRPr="00C235CD">
        <w:rPr>
          <w:b/>
          <w:bCs/>
          <w:iCs/>
          <w:sz w:val="16"/>
          <w:szCs w:val="16"/>
        </w:rPr>
        <w:t>Zawiadomienie o wypadku - działalność gospodarcza (dokumentowanie)</w:t>
      </w:r>
      <w:r w:rsidR="00584C2B">
        <w:rPr>
          <w:b/>
          <w:bCs/>
          <w:iCs/>
          <w:sz w:val="16"/>
          <w:szCs w:val="16"/>
        </w:rPr>
        <w:t>”</w:t>
      </w:r>
      <w:bookmarkStart w:id="0" w:name="_GoBack"/>
      <w:bookmarkEnd w:id="0"/>
      <w:r w:rsidR="00C235CD" w:rsidRPr="00C235CD">
        <w:rPr>
          <w:b/>
          <w:bCs/>
          <w:i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584C2B"/>
    <w:rsid w:val="006027CD"/>
    <w:rsid w:val="009A2B6D"/>
    <w:rsid w:val="00B62D97"/>
    <w:rsid w:val="00C235CD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2024-08-23T07:29:00Z</dcterms:modified>
</cp:coreProperties>
</file>